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70" w:rsidRDefault="00F27870" w:rsidP="00A56666">
      <w:pPr>
        <w:pStyle w:val="AralkYok"/>
        <w:rPr>
          <w:rFonts w:ascii="Times New Roman" w:hAnsi="Times New Roman" w:cs="Times New Roman"/>
          <w:sz w:val="24"/>
          <w:szCs w:val="24"/>
        </w:rPr>
      </w:pPr>
    </w:p>
    <w:tbl>
      <w:tblPr>
        <w:tblStyle w:val="TabloKlavuzu"/>
        <w:tblW w:w="9322" w:type="dxa"/>
        <w:tblLayout w:type="fixed"/>
        <w:tblLook w:val="04A0" w:firstRow="1" w:lastRow="0" w:firstColumn="1" w:lastColumn="0" w:noHBand="0" w:noVBand="1"/>
      </w:tblPr>
      <w:tblGrid>
        <w:gridCol w:w="1242"/>
        <w:gridCol w:w="1417"/>
        <w:gridCol w:w="6663"/>
      </w:tblGrid>
      <w:tr w:rsidR="00166EDE" w:rsidTr="008C51D8">
        <w:tc>
          <w:tcPr>
            <w:tcW w:w="1242" w:type="dxa"/>
            <w:vAlign w:val="center"/>
          </w:tcPr>
          <w:p w:rsidR="00166EDE" w:rsidRPr="00166EDE" w:rsidRDefault="00166EDE" w:rsidP="00176863">
            <w:pPr>
              <w:jc w:val="both"/>
              <w:rPr>
                <w:b/>
                <w:sz w:val="20"/>
                <w:szCs w:val="20"/>
              </w:rPr>
            </w:pPr>
            <w:r w:rsidRPr="00166EDE">
              <w:rPr>
                <w:b/>
                <w:sz w:val="20"/>
                <w:szCs w:val="20"/>
              </w:rPr>
              <w:t>KARAR NO</w:t>
            </w:r>
          </w:p>
        </w:tc>
        <w:tc>
          <w:tcPr>
            <w:tcW w:w="1417" w:type="dxa"/>
            <w:vAlign w:val="center"/>
          </w:tcPr>
          <w:p w:rsidR="00166EDE" w:rsidRPr="00166EDE" w:rsidRDefault="00166EDE" w:rsidP="00176863">
            <w:pPr>
              <w:jc w:val="both"/>
              <w:rPr>
                <w:b/>
                <w:sz w:val="20"/>
                <w:szCs w:val="20"/>
              </w:rPr>
            </w:pPr>
            <w:r w:rsidRPr="00166EDE">
              <w:rPr>
                <w:b/>
                <w:sz w:val="20"/>
                <w:szCs w:val="20"/>
              </w:rPr>
              <w:t>KARAR TARİHİ</w:t>
            </w:r>
          </w:p>
        </w:tc>
        <w:tc>
          <w:tcPr>
            <w:tcW w:w="6663" w:type="dxa"/>
          </w:tcPr>
          <w:p w:rsidR="00166EDE" w:rsidRPr="00166EDE" w:rsidRDefault="00166EDE" w:rsidP="00176863">
            <w:pPr>
              <w:jc w:val="center"/>
              <w:rPr>
                <w:b/>
                <w:sz w:val="20"/>
                <w:szCs w:val="20"/>
              </w:rPr>
            </w:pPr>
          </w:p>
          <w:p w:rsidR="00166EDE" w:rsidRPr="00166EDE" w:rsidRDefault="00166EDE" w:rsidP="00176863">
            <w:pPr>
              <w:jc w:val="center"/>
              <w:rPr>
                <w:b/>
                <w:sz w:val="20"/>
                <w:szCs w:val="20"/>
              </w:rPr>
            </w:pPr>
            <w:r w:rsidRPr="00166EDE">
              <w:rPr>
                <w:b/>
                <w:sz w:val="20"/>
                <w:szCs w:val="20"/>
              </w:rPr>
              <w:t>KARARIN KONUSU</w:t>
            </w:r>
          </w:p>
        </w:tc>
      </w:tr>
      <w:tr w:rsidR="00166EDE" w:rsidTr="008C51D8">
        <w:tc>
          <w:tcPr>
            <w:tcW w:w="1242" w:type="dxa"/>
          </w:tcPr>
          <w:p w:rsidR="00166EDE" w:rsidRDefault="007B1E6F" w:rsidP="00176863">
            <w:pPr>
              <w:jc w:val="both"/>
            </w:pPr>
            <w:r>
              <w:t>111</w:t>
            </w:r>
          </w:p>
        </w:tc>
        <w:tc>
          <w:tcPr>
            <w:tcW w:w="1417" w:type="dxa"/>
          </w:tcPr>
          <w:p w:rsidR="00166EDE" w:rsidRDefault="007B1E6F" w:rsidP="00176863">
            <w:pPr>
              <w:jc w:val="both"/>
            </w:pPr>
            <w:r>
              <w:t>10.10.2025</w:t>
            </w:r>
          </w:p>
        </w:tc>
        <w:tc>
          <w:tcPr>
            <w:tcW w:w="6663" w:type="dxa"/>
          </w:tcPr>
          <w:p w:rsidR="00166EDE" w:rsidRPr="006F78B3" w:rsidRDefault="007B1E6F" w:rsidP="007B1E6F">
            <w:pPr>
              <w:jc w:val="both"/>
              <w:rPr>
                <w:rFonts w:ascii="Calibri" w:eastAsia="Calibri" w:hAnsi="Calibri" w:cs="Times New Roman"/>
              </w:rPr>
            </w:pPr>
            <w:r w:rsidRPr="007B1E6F">
              <w:rPr>
                <w:rFonts w:ascii="Calibri" w:eastAsia="Calibri" w:hAnsi="Calibri" w:cs="Times New Roman"/>
              </w:rPr>
              <w:t>Gündemin birinci maddesine geçildi; 03.10.2025 tarih ve 99 sayılı meclis kararı ile Plan Bütçe Komisyonuna havale edilen 2026 Mali Yılı Bütçesi komisyon çalışmalarını tamamlamadığından,  2026 Mali yılı Bütçesinin karara bağlanmak üzere Meclisin 15.10.2025 Çarşamba günü saat 10:00’ da  toplanmasın</w:t>
            </w:r>
            <w:r>
              <w:rPr>
                <w:rFonts w:ascii="Calibri" w:eastAsia="Calibri" w:hAnsi="Calibri" w:cs="Times New Roman"/>
              </w:rPr>
              <w:t>a oy birliği ile karar verildi.</w:t>
            </w:r>
            <w:r w:rsidR="00004961">
              <w:t>(</w:t>
            </w:r>
            <w:r w:rsidR="00166EDE" w:rsidRPr="006F78B3">
              <w:rPr>
                <w:b/>
              </w:rPr>
              <w:t xml:space="preserve">Gündem </w:t>
            </w:r>
            <w:proofErr w:type="spellStart"/>
            <w:proofErr w:type="gramStart"/>
            <w:r w:rsidR="00166EDE" w:rsidRPr="006F78B3">
              <w:rPr>
                <w:b/>
              </w:rPr>
              <w:t>no</w:t>
            </w:r>
            <w:proofErr w:type="spellEnd"/>
            <w:r w:rsidR="00166EDE" w:rsidRPr="006F78B3">
              <w:rPr>
                <w:b/>
              </w:rPr>
              <w:t xml:space="preserve"> :1</w:t>
            </w:r>
            <w:proofErr w:type="gramEnd"/>
            <w:r w:rsidR="00166EDE" w:rsidRPr="006F78B3">
              <w:rPr>
                <w:b/>
              </w:rPr>
              <w:t>)</w:t>
            </w:r>
          </w:p>
        </w:tc>
      </w:tr>
      <w:tr w:rsidR="00166EDE" w:rsidTr="008C51D8">
        <w:tc>
          <w:tcPr>
            <w:tcW w:w="1242" w:type="dxa"/>
          </w:tcPr>
          <w:p w:rsidR="00166EDE" w:rsidRDefault="007B1E6F" w:rsidP="00176863">
            <w:pPr>
              <w:jc w:val="both"/>
            </w:pPr>
            <w:r>
              <w:t>112</w:t>
            </w:r>
          </w:p>
        </w:tc>
        <w:tc>
          <w:tcPr>
            <w:tcW w:w="1417" w:type="dxa"/>
          </w:tcPr>
          <w:p w:rsidR="00166EDE" w:rsidRDefault="007B1E6F" w:rsidP="00176863">
            <w:pPr>
              <w:jc w:val="both"/>
            </w:pPr>
            <w:r>
              <w:t>10.10.2025</w:t>
            </w:r>
          </w:p>
        </w:tc>
        <w:tc>
          <w:tcPr>
            <w:tcW w:w="6663" w:type="dxa"/>
          </w:tcPr>
          <w:p w:rsidR="007B1E6F" w:rsidRPr="007B1E6F" w:rsidRDefault="007B1E6F" w:rsidP="007B1E6F">
            <w:pPr>
              <w:jc w:val="both"/>
            </w:pPr>
            <w:r w:rsidRPr="007B1E6F">
              <w:t xml:space="preserve">Gündemin ikinci maddesine geçildi; 03.10.2025 tarih ve 100 sayılı meclis kararı ile Plan Bütçe Komisyonuna havale edilen 2026 Mali Yılı Gelir Tarifesi komisyon çalışmalarını tamamlamadığından 15.10.2025 Çarşamba günü saat 10:00’ </w:t>
            </w:r>
            <w:proofErr w:type="gramStart"/>
            <w:r w:rsidRPr="007B1E6F">
              <w:t>da  toplanılmasına</w:t>
            </w:r>
            <w:proofErr w:type="gramEnd"/>
            <w:r w:rsidRPr="007B1E6F">
              <w:t xml:space="preserve"> oybirliği ile karar verildi.</w:t>
            </w:r>
          </w:p>
          <w:p w:rsidR="006F78B3" w:rsidRPr="00CA35AE" w:rsidRDefault="008C51D8" w:rsidP="00176863">
            <w:pPr>
              <w:jc w:val="both"/>
              <w:rPr>
                <w:b/>
              </w:rPr>
            </w:pPr>
            <w:r w:rsidRPr="006F78B3">
              <w:rPr>
                <w:b/>
                <w:bCs/>
                <w:iCs/>
              </w:rPr>
              <w:t>(</w:t>
            </w:r>
            <w:r w:rsidR="00CA35AE">
              <w:rPr>
                <w:b/>
              </w:rPr>
              <w:t>Gündem no:2)</w:t>
            </w:r>
          </w:p>
        </w:tc>
      </w:tr>
      <w:tr w:rsidR="006F78B3" w:rsidTr="008C51D8">
        <w:tc>
          <w:tcPr>
            <w:tcW w:w="1242" w:type="dxa"/>
          </w:tcPr>
          <w:p w:rsidR="006F78B3" w:rsidRDefault="007B1E6F" w:rsidP="00176863">
            <w:pPr>
              <w:jc w:val="both"/>
            </w:pPr>
            <w:r>
              <w:t>113</w:t>
            </w:r>
          </w:p>
        </w:tc>
        <w:tc>
          <w:tcPr>
            <w:tcW w:w="1417" w:type="dxa"/>
          </w:tcPr>
          <w:p w:rsidR="006F78B3" w:rsidRDefault="007B1E6F" w:rsidP="00176863">
            <w:pPr>
              <w:jc w:val="both"/>
            </w:pPr>
            <w:r>
              <w:t>10.10.2025</w:t>
            </w:r>
          </w:p>
        </w:tc>
        <w:tc>
          <w:tcPr>
            <w:tcW w:w="6663" w:type="dxa"/>
          </w:tcPr>
          <w:p w:rsidR="00CA35AE" w:rsidRPr="00CA35AE" w:rsidRDefault="006F78B3" w:rsidP="00CA35AE">
            <w:pPr>
              <w:jc w:val="both"/>
              <w:rPr>
                <w:b/>
              </w:rPr>
            </w:pPr>
            <w:r>
              <w:t xml:space="preserve">   </w:t>
            </w:r>
            <w:r w:rsidR="007B1E6F" w:rsidRPr="007B1E6F">
              <w:t xml:space="preserve">Gündemin üçüncü maddesine geçildi; 03.10.2025 tarih ve 101 sayılı meclis kararı ile Plan Bütçe Komisyonuna havale edilen 2026 Mali Yılı Performans Programı komisyon çalışmalarını tamamlamadığından 2026 Mali yılı Performans Programının 15.10.2025 Çarşamba günü saat 10:00’ </w:t>
            </w:r>
            <w:proofErr w:type="gramStart"/>
            <w:r w:rsidR="007B1E6F" w:rsidRPr="007B1E6F">
              <w:t>da  toplanılmas</w:t>
            </w:r>
            <w:r w:rsidR="007B1E6F">
              <w:t>ına</w:t>
            </w:r>
            <w:proofErr w:type="gramEnd"/>
            <w:r w:rsidR="007B1E6F">
              <w:t xml:space="preserve"> oybirliği ile karar verildi</w:t>
            </w:r>
            <w:r>
              <w:t xml:space="preserve">. </w:t>
            </w:r>
            <w:r w:rsidRPr="006F78B3">
              <w:rPr>
                <w:b/>
                <w:bCs/>
                <w:iCs/>
              </w:rPr>
              <w:t>(</w:t>
            </w:r>
            <w:r w:rsidRPr="006F78B3">
              <w:rPr>
                <w:b/>
              </w:rPr>
              <w:t>Gündem no</w:t>
            </w:r>
            <w:r w:rsidR="007B1E6F">
              <w:rPr>
                <w:b/>
              </w:rPr>
              <w:t>:3</w:t>
            </w:r>
            <w:r w:rsidR="00017AD1">
              <w:rPr>
                <w:b/>
              </w:rPr>
              <w:t>)</w:t>
            </w:r>
          </w:p>
        </w:tc>
      </w:tr>
      <w:tr w:rsidR="00CA35AE" w:rsidTr="008C51D8">
        <w:tc>
          <w:tcPr>
            <w:tcW w:w="1242" w:type="dxa"/>
          </w:tcPr>
          <w:p w:rsidR="00CA35AE" w:rsidRDefault="007B1E6F" w:rsidP="00176863">
            <w:pPr>
              <w:jc w:val="both"/>
            </w:pPr>
            <w:r>
              <w:t>114</w:t>
            </w:r>
          </w:p>
        </w:tc>
        <w:tc>
          <w:tcPr>
            <w:tcW w:w="1417" w:type="dxa"/>
          </w:tcPr>
          <w:p w:rsidR="00CA35AE" w:rsidRDefault="007B1E6F" w:rsidP="00176863">
            <w:pPr>
              <w:jc w:val="both"/>
            </w:pPr>
            <w:r>
              <w:t>10.10.2025</w:t>
            </w:r>
          </w:p>
        </w:tc>
        <w:tc>
          <w:tcPr>
            <w:tcW w:w="6663" w:type="dxa"/>
          </w:tcPr>
          <w:p w:rsidR="007B1E6F" w:rsidRDefault="007B1E6F" w:rsidP="007B1E6F">
            <w:pPr>
              <w:ind w:left="-32"/>
              <w:jc w:val="both"/>
            </w:pPr>
            <w:r>
              <w:t>Gündemin dördüncü maddesine geçildi; 03.10.2025 tarih ve 108 sayılı meclis kararı ile Hukuk Komisyonuna havale edilen Veteriner İşleri Müdürlüğünün görev ve çalışma yönetmeliği ile ilgili komisyon raporu okundu.</w:t>
            </w:r>
          </w:p>
          <w:p w:rsidR="007B1E6F" w:rsidRDefault="007B1E6F" w:rsidP="007B1E6F">
            <w:pPr>
              <w:ind w:left="-32"/>
              <w:jc w:val="both"/>
            </w:pPr>
            <w:r>
              <w:t>KOMİSYON RAPORU</w:t>
            </w:r>
          </w:p>
          <w:p w:rsidR="007B1E6F" w:rsidRDefault="007B1E6F" w:rsidP="007B1E6F">
            <w:pPr>
              <w:ind w:left="-32"/>
              <w:jc w:val="both"/>
            </w:pPr>
            <w:r>
              <w:t xml:space="preserve">Komisyonumuza havale edilen “ Veteriner İşleri Müdürlüğünün Görev ve Çalışma Esasları Yönetmeliğinin” başta 5393 sayılı Belediye Kanunu, 5199 Sayılı Hayvanları Koruma Kanunu, 5596 Sayılı Veteriner Hizmetleri Bitki Sağlığı, Gıda ve Yem Kanunu, 7527 Sayılı Hayvanları Koruma Kanununda Değişiklik Yapılmasına Dair Kanun ve ilgili mevzuat çerçevesinde, müdürlüğün bünyesinde yer alacak personelin görev, </w:t>
            </w:r>
            <w:proofErr w:type="gramStart"/>
            <w:r>
              <w:t>yetki  ve</w:t>
            </w:r>
            <w:proofErr w:type="gramEnd"/>
            <w:r>
              <w:t xml:space="preserve"> sorumlulukları ile çalışma usul ve esaslarını belirleme  konusunda ihtiyacı karşılayacak kapsamdadır.  </w:t>
            </w:r>
          </w:p>
          <w:p w:rsidR="007B1E6F" w:rsidRDefault="007B1E6F" w:rsidP="007B1E6F">
            <w:pPr>
              <w:ind w:left="-32"/>
              <w:jc w:val="both"/>
            </w:pPr>
            <w:r>
              <w:t xml:space="preserve">Komisyonumuzca yapılan değerlendirme sonucunda; 14 maddeden oluşan “ Veteriner İşleri Müdürlüğünün Görev ve Çalışma Esasları Yönetmeliği’nin” belirtilen mevzuatlara uygun </w:t>
            </w:r>
            <w:proofErr w:type="gramStart"/>
            <w:r>
              <w:t>olduğu  kanaatine</w:t>
            </w:r>
            <w:proofErr w:type="gramEnd"/>
            <w:r>
              <w:t xml:space="preserve"> varılmıştır.  </w:t>
            </w:r>
          </w:p>
          <w:p w:rsidR="007B1E6F" w:rsidRDefault="007B1E6F" w:rsidP="007B1E6F">
            <w:pPr>
              <w:jc w:val="both"/>
            </w:pPr>
          </w:p>
          <w:p w:rsidR="00CA35AE" w:rsidRDefault="007B1E6F" w:rsidP="007B1E6F">
            <w:pPr>
              <w:jc w:val="both"/>
            </w:pPr>
            <w:r>
              <w:t>KARAR:   Meclisçe yapılan müzakereler neticesinde; hukuk komisyon raporunun olduğu gibi kabul edilmesine oy birliği ile karar verildi.</w:t>
            </w:r>
          </w:p>
        </w:tc>
      </w:tr>
    </w:tbl>
    <w:p w:rsidR="00176863" w:rsidRDefault="00176863" w:rsidP="00176863">
      <w:pPr>
        <w:pStyle w:val="AralkYok"/>
        <w:ind w:left="108"/>
      </w:pPr>
    </w:p>
    <w:p w:rsidR="00176863" w:rsidRDefault="00176863" w:rsidP="00176863">
      <w:pPr>
        <w:pStyle w:val="AralkYok"/>
        <w:ind w:left="108"/>
      </w:pPr>
    </w:p>
    <w:p w:rsidR="006F78B3" w:rsidRDefault="006F78B3" w:rsidP="006F78B3">
      <w:pPr>
        <w:pStyle w:val="AralkYok"/>
      </w:pPr>
      <w:r>
        <w:t xml:space="preserve">   MECLİS BAŞKANI                                   </w:t>
      </w:r>
      <w:proofErr w:type="gramStart"/>
      <w:r>
        <w:t>KATİP</w:t>
      </w:r>
      <w:proofErr w:type="gramEnd"/>
      <w:r>
        <w:t xml:space="preserve">                                      </w:t>
      </w:r>
      <w:proofErr w:type="spellStart"/>
      <w:r>
        <w:t>KATİP</w:t>
      </w:r>
      <w:proofErr w:type="spellEnd"/>
    </w:p>
    <w:p w:rsidR="006F78B3" w:rsidRDefault="00CA35AE" w:rsidP="007B1E6F">
      <w:pPr>
        <w:pStyle w:val="AralkYok"/>
        <w:tabs>
          <w:tab w:val="left" w:pos="5610"/>
        </w:tabs>
      </w:pPr>
      <w:r>
        <w:t xml:space="preserve">   </w:t>
      </w:r>
      <w:r w:rsidR="007B1E6F">
        <w:t xml:space="preserve">Emrah KARAÇAY        </w:t>
      </w:r>
      <w:r w:rsidR="006F78B3">
        <w:t xml:space="preserve">                 Meltem RAMAZAN</w:t>
      </w:r>
      <w:r w:rsidR="00ED1223">
        <w:tab/>
        <w:t xml:space="preserve">Gökhan </w:t>
      </w:r>
      <w:r w:rsidR="00ED1223">
        <w:tab/>
        <w:t>K</w:t>
      </w:r>
      <w:bookmarkStart w:id="0" w:name="_GoBack"/>
      <w:bookmarkEnd w:id="0"/>
      <w:r w:rsidR="007B1E6F">
        <w:t>AMACI</w:t>
      </w:r>
    </w:p>
    <w:p w:rsidR="005A6C97" w:rsidRDefault="005A6C97" w:rsidP="00AF56F3">
      <w:pPr>
        <w:pStyle w:val="AralkYok"/>
      </w:pPr>
    </w:p>
    <w:sectPr w:rsidR="005A6C97" w:rsidSect="00CA35AE">
      <w:headerReference w:type="default" r:id="rId9"/>
      <w:pgSz w:w="11906" w:h="16838"/>
      <w:pgMar w:top="142"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D2E" w:rsidRDefault="00AD1D2E" w:rsidP="00A56666">
      <w:pPr>
        <w:pStyle w:val="AralkYok"/>
      </w:pPr>
      <w:r>
        <w:separator/>
      </w:r>
    </w:p>
  </w:endnote>
  <w:endnote w:type="continuationSeparator" w:id="0">
    <w:p w:rsidR="00AD1D2E" w:rsidRDefault="00AD1D2E" w:rsidP="00A56666">
      <w:pPr>
        <w:pStyle w:val="AralkY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D2E" w:rsidRDefault="00AD1D2E" w:rsidP="00A56666">
      <w:pPr>
        <w:pStyle w:val="AralkYok"/>
      </w:pPr>
      <w:r>
        <w:separator/>
      </w:r>
    </w:p>
  </w:footnote>
  <w:footnote w:type="continuationSeparator" w:id="0">
    <w:p w:rsidR="00AD1D2E" w:rsidRDefault="00AD1D2E" w:rsidP="00A56666">
      <w:pPr>
        <w:pStyle w:val="AralkYok"/>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66" w:rsidRDefault="00A56666" w:rsidP="00A56666">
    <w:pPr>
      <w:pStyle w:val="AralkYok"/>
      <w:jc w:val="center"/>
    </w:pPr>
    <w:r>
      <w:t>T.C.</w:t>
    </w:r>
  </w:p>
  <w:p w:rsidR="00A56666" w:rsidRDefault="00A56666" w:rsidP="00A56666">
    <w:pPr>
      <w:pStyle w:val="AralkYok"/>
      <w:jc w:val="center"/>
    </w:pPr>
    <w:r>
      <w:t>SAMANDAĞ BELEDİYE MECLİSİ</w:t>
    </w:r>
  </w:p>
  <w:p w:rsidR="00A56666" w:rsidRDefault="007B1E6F" w:rsidP="00A56666">
    <w:pPr>
      <w:pStyle w:val="AralkYok"/>
      <w:jc w:val="center"/>
    </w:pPr>
    <w:r>
      <w:t>10</w:t>
    </w:r>
    <w:r w:rsidR="00176863">
      <w:t>.10</w:t>
    </w:r>
    <w:r>
      <w:t>.2025</w:t>
    </w:r>
    <w:r w:rsidR="00A56666">
      <w:t xml:space="preserve"> Tarihli Meclis Toplantısına Ait Karar Özetleri</w:t>
    </w:r>
  </w:p>
  <w:p w:rsidR="00A56666" w:rsidRDefault="00A56666" w:rsidP="00A56666">
    <w:pPr>
      <w:pStyle w:val="AralkYok"/>
      <w:jc w:val="center"/>
      <w:rPr>
        <w:rFonts w:ascii="Times New Roman" w:hAnsi="Times New Roman" w:cs="Times New Roman"/>
        <w:sz w:val="24"/>
        <w:szCs w:val="24"/>
      </w:rPr>
    </w:pPr>
  </w:p>
  <w:p w:rsidR="00A56666" w:rsidRDefault="00A56666">
    <w:pPr>
      <w:pStyle w:val="stbilgi"/>
    </w:pPr>
  </w:p>
  <w:p w:rsidR="00A56666" w:rsidRDefault="00A5666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31095"/>
    <w:multiLevelType w:val="hybridMultilevel"/>
    <w:tmpl w:val="654EC1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4808"/>
    <w:rsid w:val="00004961"/>
    <w:rsid w:val="000135C3"/>
    <w:rsid w:val="00017AD1"/>
    <w:rsid w:val="00066D98"/>
    <w:rsid w:val="000E4808"/>
    <w:rsid w:val="00112E43"/>
    <w:rsid w:val="001657ED"/>
    <w:rsid w:val="00166EDE"/>
    <w:rsid w:val="00176863"/>
    <w:rsid w:val="00185506"/>
    <w:rsid w:val="0025264B"/>
    <w:rsid w:val="00270C36"/>
    <w:rsid w:val="002C68BC"/>
    <w:rsid w:val="002D681A"/>
    <w:rsid w:val="0032062F"/>
    <w:rsid w:val="00353BB6"/>
    <w:rsid w:val="00425B6D"/>
    <w:rsid w:val="00430CAF"/>
    <w:rsid w:val="00432B58"/>
    <w:rsid w:val="00440E3A"/>
    <w:rsid w:val="00460621"/>
    <w:rsid w:val="004774F1"/>
    <w:rsid w:val="004A49D8"/>
    <w:rsid w:val="004C6A89"/>
    <w:rsid w:val="004E4E9C"/>
    <w:rsid w:val="00507B3D"/>
    <w:rsid w:val="00525561"/>
    <w:rsid w:val="00533A92"/>
    <w:rsid w:val="005421D6"/>
    <w:rsid w:val="00544DFD"/>
    <w:rsid w:val="005561CB"/>
    <w:rsid w:val="0058742C"/>
    <w:rsid w:val="00587EBC"/>
    <w:rsid w:val="0059450E"/>
    <w:rsid w:val="005A6C97"/>
    <w:rsid w:val="005F367E"/>
    <w:rsid w:val="006111F2"/>
    <w:rsid w:val="006A18F2"/>
    <w:rsid w:val="006C578E"/>
    <w:rsid w:val="006D4267"/>
    <w:rsid w:val="006E7CC8"/>
    <w:rsid w:val="006F78B3"/>
    <w:rsid w:val="0073068F"/>
    <w:rsid w:val="00753E55"/>
    <w:rsid w:val="00762708"/>
    <w:rsid w:val="0076368E"/>
    <w:rsid w:val="007762D5"/>
    <w:rsid w:val="0078435F"/>
    <w:rsid w:val="007913E2"/>
    <w:rsid w:val="007B1E6F"/>
    <w:rsid w:val="007B6816"/>
    <w:rsid w:val="00806DC9"/>
    <w:rsid w:val="00821EB8"/>
    <w:rsid w:val="00821F74"/>
    <w:rsid w:val="00823F67"/>
    <w:rsid w:val="00824FEF"/>
    <w:rsid w:val="00836943"/>
    <w:rsid w:val="008410A5"/>
    <w:rsid w:val="00850E1F"/>
    <w:rsid w:val="0087410D"/>
    <w:rsid w:val="00881466"/>
    <w:rsid w:val="0088401D"/>
    <w:rsid w:val="00887F6B"/>
    <w:rsid w:val="00896E46"/>
    <w:rsid w:val="008A0C60"/>
    <w:rsid w:val="008A1074"/>
    <w:rsid w:val="008C51D8"/>
    <w:rsid w:val="00916BAB"/>
    <w:rsid w:val="00927045"/>
    <w:rsid w:val="009647DC"/>
    <w:rsid w:val="009C250B"/>
    <w:rsid w:val="009D52AB"/>
    <w:rsid w:val="009D7AC6"/>
    <w:rsid w:val="009F32A2"/>
    <w:rsid w:val="00A204CB"/>
    <w:rsid w:val="00A27C9C"/>
    <w:rsid w:val="00A46A75"/>
    <w:rsid w:val="00A56666"/>
    <w:rsid w:val="00AB0250"/>
    <w:rsid w:val="00AC0543"/>
    <w:rsid w:val="00AC5389"/>
    <w:rsid w:val="00AD1D2E"/>
    <w:rsid w:val="00AF3C8D"/>
    <w:rsid w:val="00AF56F3"/>
    <w:rsid w:val="00B15079"/>
    <w:rsid w:val="00B24A28"/>
    <w:rsid w:val="00B27222"/>
    <w:rsid w:val="00B759BE"/>
    <w:rsid w:val="00B831E3"/>
    <w:rsid w:val="00BA2750"/>
    <w:rsid w:val="00BB3C82"/>
    <w:rsid w:val="00C66380"/>
    <w:rsid w:val="00CA35AE"/>
    <w:rsid w:val="00D26A0C"/>
    <w:rsid w:val="00DA21CB"/>
    <w:rsid w:val="00DF1065"/>
    <w:rsid w:val="00E10207"/>
    <w:rsid w:val="00E401AA"/>
    <w:rsid w:val="00E445E7"/>
    <w:rsid w:val="00E64AA7"/>
    <w:rsid w:val="00E71487"/>
    <w:rsid w:val="00E7754D"/>
    <w:rsid w:val="00ED1223"/>
    <w:rsid w:val="00EE1492"/>
    <w:rsid w:val="00F27870"/>
    <w:rsid w:val="00F41D53"/>
    <w:rsid w:val="00F51E54"/>
    <w:rsid w:val="00FF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 w:type="character" w:customStyle="1" w:styleId="apple-converted-space">
    <w:name w:val="apple-converted-space"/>
    <w:basedOn w:val="VarsaylanParagrafYazTipi"/>
    <w:rsid w:val="00CA35AE"/>
  </w:style>
  <w:style w:type="character" w:styleId="Gl">
    <w:name w:val="Strong"/>
    <w:basedOn w:val="VarsaylanParagrafYazTipi"/>
    <w:uiPriority w:val="22"/>
    <w:qFormat/>
    <w:rsid w:val="00CA35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25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9A712-437A-440B-9922-66662426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348</Words>
  <Characters>1984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Pc</cp:lastModifiedBy>
  <cp:revision>12</cp:revision>
  <cp:lastPrinted>2025-10-14T08:38:00Z</cp:lastPrinted>
  <dcterms:created xsi:type="dcterms:W3CDTF">2022-10-21T06:48:00Z</dcterms:created>
  <dcterms:modified xsi:type="dcterms:W3CDTF">2025-10-14T08:38:00Z</dcterms:modified>
</cp:coreProperties>
</file>